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6CF94" w14:textId="2769DC19" w:rsidR="0016281D" w:rsidRDefault="009041B4" w:rsidP="00082AC0">
      <w:pPr>
        <w:jc w:val="center"/>
      </w:pPr>
      <w:r w:rsidRPr="00497623">
        <w:rPr>
          <w:noProof/>
        </w:rPr>
        <w:drawing>
          <wp:inline distT="0" distB="0" distL="0" distR="0" wp14:anchorId="20578F65" wp14:editId="46F1056C">
            <wp:extent cx="1828800" cy="923925"/>
            <wp:effectExtent l="0" t="0" r="0" b="0"/>
            <wp:docPr id="1" name="Picture 1" descr="Basic%20City%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20City%20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inline>
        </w:drawing>
      </w:r>
    </w:p>
    <w:p w14:paraId="12364C37" w14:textId="77777777" w:rsidR="0016281D" w:rsidRDefault="000A06BF" w:rsidP="0016281D">
      <w:pPr>
        <w:jc w:val="center"/>
        <w:rPr>
          <w:b/>
          <w:bCs/>
          <w:sz w:val="21"/>
          <w:szCs w:val="21"/>
        </w:rPr>
      </w:pPr>
      <w:smartTag w:uri="urn:schemas-microsoft-com:office:smarttags" w:element="place">
        <w:smartTag w:uri="urn:schemas-microsoft-com:office:smarttags" w:element="PlaceName">
          <w:r>
            <w:rPr>
              <w:b/>
              <w:sz w:val="21"/>
              <w:szCs w:val="21"/>
              <w:lang w:val="en-CA"/>
            </w:rPr>
            <w:t>DEVELOPMENT</w:t>
          </w:r>
        </w:smartTag>
        <w:r>
          <w:rPr>
            <w:b/>
            <w:sz w:val="21"/>
            <w:szCs w:val="21"/>
            <w:lang w:val="en-CA"/>
          </w:rPr>
          <w:t xml:space="preserve"> </w:t>
        </w:r>
        <w:smartTag w:uri="urn:schemas-microsoft-com:office:smarttags" w:element="PlaceName">
          <w:r>
            <w:rPr>
              <w:b/>
              <w:sz w:val="21"/>
              <w:szCs w:val="21"/>
              <w:lang w:val="en-CA"/>
            </w:rPr>
            <w:t>SERVICES</w:t>
          </w:r>
        </w:smartTag>
        <w:r>
          <w:rPr>
            <w:b/>
            <w:sz w:val="21"/>
            <w:szCs w:val="21"/>
            <w:lang w:val="en-CA"/>
          </w:rPr>
          <w:t xml:space="preserve"> </w:t>
        </w:r>
        <w:smartTag w:uri="urn:schemas-microsoft-com:office:smarttags" w:element="PlaceType">
          <w:r>
            <w:rPr>
              <w:b/>
              <w:sz w:val="21"/>
              <w:szCs w:val="21"/>
              <w:lang w:val="en-CA"/>
            </w:rPr>
            <w:t>CENTER</w:t>
          </w:r>
        </w:smartTag>
      </w:smartTag>
      <w:r w:rsidR="0016281D">
        <w:rPr>
          <w:b/>
          <w:bCs/>
          <w:sz w:val="21"/>
          <w:szCs w:val="21"/>
        </w:rPr>
        <w:t>, PLANNING DIVISION</w:t>
      </w:r>
    </w:p>
    <w:p w14:paraId="48169F97" w14:textId="4796F4B3" w:rsidR="0016281D" w:rsidRDefault="009041B4" w:rsidP="0016281D">
      <w:pPr>
        <w:rPr>
          <w:b/>
          <w:bCs/>
          <w:sz w:val="21"/>
          <w:szCs w:val="21"/>
        </w:rPr>
      </w:pPr>
      <w:r>
        <w:rPr>
          <w:noProof/>
          <w:sz w:val="21"/>
          <w:szCs w:val="21"/>
        </w:rPr>
        <mc:AlternateContent>
          <mc:Choice Requires="wps">
            <w:drawing>
              <wp:anchor distT="0" distB="0" distL="114300" distR="114300" simplePos="0" relativeHeight="251658240" behindDoc="0" locked="0" layoutInCell="1" allowOverlap="1" wp14:anchorId="5A24C8DE" wp14:editId="713634DD">
                <wp:simplePos x="0" y="0"/>
                <wp:positionH relativeFrom="column">
                  <wp:posOffset>13335</wp:posOffset>
                </wp:positionH>
                <wp:positionV relativeFrom="paragraph">
                  <wp:posOffset>31750</wp:posOffset>
                </wp:positionV>
                <wp:extent cx="62484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2070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5pt" to="493.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" strokeweight="3pt"/>
            </w:pict>
          </mc:Fallback>
        </mc:AlternateContent>
      </w:r>
      <w:r>
        <w:rPr>
          <w:noProof/>
          <w:sz w:val="21"/>
          <w:szCs w:val="21"/>
        </w:rPr>
        <mc:AlternateContent>
          <mc:Choice Requires="wps">
            <w:drawing>
              <wp:anchor distT="0" distB="0" distL="114300" distR="114300" simplePos="0" relativeHeight="251657216" behindDoc="0" locked="0" layoutInCell="0" allowOverlap="1" wp14:anchorId="503AC8CF" wp14:editId="71680845">
                <wp:simplePos x="0" y="0"/>
                <wp:positionH relativeFrom="margin">
                  <wp:posOffset>0</wp:posOffset>
                </wp:positionH>
                <wp:positionV relativeFrom="paragraph">
                  <wp:posOffset>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1F51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pTDAIAACMEAAAOAAAAZHJzL2Uyb0RvYy54bWysU8GO2yAQvVfqPyDuie3U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" o:allowincell="f" strokecolor="#020000" strokeweight="1.5pt">
                <w10:wrap anchorx="margin"/>
              </v:line>
            </w:pict>
          </mc:Fallback>
        </mc:AlternateContent>
      </w:r>
    </w:p>
    <w:p w14:paraId="26F533E1" w14:textId="1F79BEE9" w:rsidR="0016281D" w:rsidRPr="00044DD3" w:rsidRDefault="0016281D" w:rsidP="0016281D">
      <w:pPr>
        <w:jc w:val="center"/>
        <w:rPr>
          <w:b/>
          <w:bCs/>
          <w:sz w:val="21"/>
          <w:szCs w:val="21"/>
        </w:rPr>
      </w:pPr>
      <w:r w:rsidRPr="00044DD3">
        <w:rPr>
          <w:sz w:val="21"/>
          <w:szCs w:val="21"/>
          <w:lang w:val="en-CA"/>
        </w:rPr>
        <w:fldChar w:fldCharType="begin"/>
      </w:r>
      <w:r w:rsidRPr="00044DD3">
        <w:rPr>
          <w:sz w:val="21"/>
          <w:szCs w:val="21"/>
          <w:lang w:val="en-CA"/>
        </w:rPr>
        <w:instrText xml:space="preserve"> SEQ CHAPTER \h \r 1</w:instrText>
      </w:r>
      <w:r w:rsidRPr="00044DD3">
        <w:rPr>
          <w:sz w:val="21"/>
          <w:szCs w:val="21"/>
          <w:lang w:val="en-CA"/>
        </w:rPr>
        <w:fldChar w:fldCharType="end"/>
      </w:r>
      <w:smartTag w:uri="urn:schemas-microsoft-com:office:smarttags" w:element="address">
        <w:smartTag w:uri="urn:schemas-microsoft-com:office:smarttags" w:element="Street">
          <w:r w:rsidRPr="00044DD3">
            <w:rPr>
              <w:b/>
              <w:bCs/>
              <w:sz w:val="21"/>
              <w:szCs w:val="21"/>
            </w:rPr>
            <w:t>175</w:t>
          </w:r>
          <w:r w:rsidR="0013272A">
            <w:rPr>
              <w:b/>
              <w:bCs/>
              <w:sz w:val="21"/>
              <w:szCs w:val="21"/>
            </w:rPr>
            <w:t>7</w:t>
          </w:r>
          <w:r w:rsidRPr="00044DD3">
            <w:rPr>
              <w:b/>
              <w:bCs/>
              <w:sz w:val="21"/>
              <w:szCs w:val="21"/>
            </w:rPr>
            <w:t>5 Peak Avenue</w:t>
          </w:r>
        </w:smartTag>
        <w:r w:rsidRPr="00044DD3">
          <w:rPr>
            <w:b/>
            <w:bCs/>
            <w:sz w:val="21"/>
            <w:szCs w:val="21"/>
          </w:rPr>
          <w:t xml:space="preserve">   </w:t>
        </w:r>
        <w:smartTag w:uri="urn:schemas-microsoft-com:office:smarttags" w:element="City">
          <w:r w:rsidRPr="00044DD3">
            <w:rPr>
              <w:b/>
              <w:bCs/>
              <w:sz w:val="21"/>
              <w:szCs w:val="21"/>
            </w:rPr>
            <w:t>Morgan Hill</w:t>
          </w:r>
        </w:smartTag>
        <w:r w:rsidRPr="00044DD3">
          <w:rPr>
            <w:b/>
            <w:bCs/>
            <w:sz w:val="21"/>
            <w:szCs w:val="21"/>
          </w:rPr>
          <w:t xml:space="preserve">   </w:t>
        </w:r>
        <w:smartTag w:uri="urn:schemas-microsoft-com:office:smarttags" w:element="State">
          <w:r w:rsidRPr="00044DD3">
            <w:rPr>
              <w:b/>
              <w:bCs/>
              <w:sz w:val="21"/>
              <w:szCs w:val="21"/>
            </w:rPr>
            <w:t>CA</w:t>
          </w:r>
        </w:smartTag>
        <w:r w:rsidRPr="00044DD3">
          <w:rPr>
            <w:b/>
            <w:bCs/>
            <w:sz w:val="21"/>
            <w:szCs w:val="21"/>
          </w:rPr>
          <w:t xml:space="preserve"> </w:t>
        </w:r>
        <w:smartTag w:uri="urn:schemas-microsoft-com:office:smarttags" w:element="PostalCode">
          <w:r w:rsidRPr="00044DD3">
            <w:rPr>
              <w:b/>
              <w:bCs/>
              <w:sz w:val="21"/>
              <w:szCs w:val="21"/>
            </w:rPr>
            <w:t>95037</w:t>
          </w:r>
        </w:smartTag>
      </w:smartTag>
      <w:r w:rsidRPr="00044DD3">
        <w:rPr>
          <w:b/>
          <w:bCs/>
          <w:sz w:val="21"/>
          <w:szCs w:val="21"/>
        </w:rPr>
        <w:t xml:space="preserve">  (408) 77</w:t>
      </w:r>
      <w:r w:rsidR="0013272A">
        <w:rPr>
          <w:b/>
          <w:bCs/>
          <w:sz w:val="21"/>
          <w:szCs w:val="21"/>
        </w:rPr>
        <w:t>8</w:t>
      </w:r>
      <w:r w:rsidRPr="00044DD3">
        <w:rPr>
          <w:b/>
          <w:bCs/>
          <w:sz w:val="21"/>
          <w:szCs w:val="21"/>
        </w:rPr>
        <w:t>-</w:t>
      </w:r>
      <w:r w:rsidR="0013272A">
        <w:rPr>
          <w:b/>
          <w:bCs/>
          <w:sz w:val="21"/>
          <w:szCs w:val="21"/>
        </w:rPr>
        <w:t>6480</w:t>
      </w:r>
      <w:r w:rsidRPr="00044DD3">
        <w:rPr>
          <w:b/>
          <w:bCs/>
          <w:sz w:val="21"/>
          <w:szCs w:val="21"/>
        </w:rPr>
        <w:t xml:space="preserve"> Fax (408) 779-7236</w:t>
      </w:r>
    </w:p>
    <w:p w14:paraId="27D41848" w14:textId="77777777" w:rsidR="007D09D9" w:rsidRPr="00FC297C" w:rsidRDefault="0016281D" w:rsidP="00806740">
      <w:pPr>
        <w:jc w:val="center"/>
        <w:rPr>
          <w:b/>
          <w:bCs/>
          <w:sz w:val="21"/>
          <w:szCs w:val="21"/>
        </w:rPr>
      </w:pPr>
      <w:r w:rsidRPr="00044DD3">
        <w:rPr>
          <w:b/>
          <w:bCs/>
          <w:sz w:val="21"/>
          <w:szCs w:val="21"/>
        </w:rPr>
        <w:t xml:space="preserve">Website Address: </w:t>
      </w:r>
      <w:hyperlink r:id="rId8" w:history="1">
        <w:r w:rsidRPr="00763619">
          <w:rPr>
            <w:rStyle w:val="Hyperlink"/>
            <w:b/>
            <w:bCs/>
            <w:sz w:val="21"/>
            <w:szCs w:val="21"/>
          </w:rPr>
          <w:t>www.morgan-hill.ca.gov</w:t>
        </w:r>
      </w:hyperlink>
    </w:p>
    <w:p w14:paraId="0EB437F5" w14:textId="77777777" w:rsidR="00806740" w:rsidRPr="00806740" w:rsidRDefault="00806740" w:rsidP="00806740">
      <w:pPr>
        <w:jc w:val="center"/>
        <w:rPr>
          <w:b/>
          <w:sz w:val="24"/>
          <w:szCs w:val="24"/>
        </w:rPr>
      </w:pPr>
      <w:r w:rsidRPr="00806740">
        <w:rPr>
          <w:b/>
          <w:sz w:val="24"/>
          <w:szCs w:val="24"/>
        </w:rPr>
        <w:t xml:space="preserve">NOTICE OF INTENT </w:t>
      </w:r>
    </w:p>
    <w:p w14:paraId="32D37584" w14:textId="77777777" w:rsidR="00806740" w:rsidRDefault="00806740" w:rsidP="00806740">
      <w:pPr>
        <w:jc w:val="center"/>
        <w:rPr>
          <w:b/>
          <w:sz w:val="24"/>
          <w:szCs w:val="24"/>
        </w:rPr>
      </w:pPr>
      <w:r w:rsidRPr="00806740">
        <w:rPr>
          <w:b/>
          <w:sz w:val="24"/>
          <w:szCs w:val="24"/>
        </w:rPr>
        <w:t>TO ADOPT A MITIGATED NEGATIVE DECLARATION</w:t>
      </w:r>
    </w:p>
    <w:p w14:paraId="755015AD" w14:textId="77777777" w:rsidR="00806740" w:rsidRPr="00806740" w:rsidRDefault="00806740" w:rsidP="00806740">
      <w:pPr>
        <w:jc w:val="center"/>
        <w:rPr>
          <w:b/>
          <w:sz w:val="24"/>
          <w:szCs w:val="24"/>
        </w:rPr>
      </w:pPr>
    </w:p>
    <w:p w14:paraId="1C5C8E0D" w14:textId="12B514F0" w:rsidR="00CD524A" w:rsidRPr="00700A27" w:rsidRDefault="007D09D9" w:rsidP="00CD524A">
      <w:pPr>
        <w:ind w:right="-1440"/>
        <w:rPr>
          <w:sz w:val="23"/>
          <w:szCs w:val="23"/>
        </w:rPr>
      </w:pPr>
      <w:r w:rsidRPr="00742EF4">
        <w:rPr>
          <w:b/>
          <w:sz w:val="23"/>
          <w:szCs w:val="23"/>
        </w:rPr>
        <w:t>To:</w:t>
      </w:r>
      <w:r w:rsidRPr="00742EF4">
        <w:rPr>
          <w:b/>
          <w:sz w:val="23"/>
          <w:szCs w:val="23"/>
        </w:rPr>
        <w:tab/>
      </w:r>
      <w:r w:rsidR="00CD524A" w:rsidRPr="00700A27">
        <w:rPr>
          <w:sz w:val="23"/>
          <w:szCs w:val="23"/>
        </w:rPr>
        <w:t>City of San Jose</w:t>
      </w:r>
      <w:r w:rsidR="00140B91" w:rsidRPr="00700A27">
        <w:rPr>
          <w:sz w:val="23"/>
          <w:szCs w:val="23"/>
        </w:rPr>
        <w:tab/>
      </w:r>
      <w:r w:rsidR="00140B91" w:rsidRPr="00700A27">
        <w:rPr>
          <w:sz w:val="23"/>
          <w:szCs w:val="23"/>
        </w:rPr>
        <w:tab/>
      </w:r>
      <w:r w:rsidR="00140B91" w:rsidRPr="00700A27">
        <w:rPr>
          <w:sz w:val="23"/>
          <w:szCs w:val="23"/>
        </w:rPr>
        <w:tab/>
      </w:r>
      <w:r w:rsidR="00140B91" w:rsidRPr="00700A27">
        <w:rPr>
          <w:sz w:val="23"/>
          <w:szCs w:val="23"/>
        </w:rPr>
        <w:tab/>
      </w:r>
      <w:r w:rsidR="00140B91" w:rsidRPr="00700A27">
        <w:rPr>
          <w:sz w:val="23"/>
          <w:szCs w:val="23"/>
        </w:rPr>
        <w:tab/>
      </w:r>
      <w:r w:rsidR="00700A27">
        <w:rPr>
          <w:sz w:val="22"/>
          <w:szCs w:val="22"/>
        </w:rPr>
        <w:t>Carpenters 46</w:t>
      </w:r>
    </w:p>
    <w:p w14:paraId="25C25A79" w14:textId="77777777" w:rsidR="00140B91" w:rsidRPr="00700A27" w:rsidRDefault="00CD524A" w:rsidP="00140B91">
      <w:pPr>
        <w:ind w:firstLine="720"/>
        <w:rPr>
          <w:sz w:val="22"/>
          <w:szCs w:val="22"/>
        </w:rPr>
      </w:pPr>
      <w:r w:rsidRPr="00700A27">
        <w:rPr>
          <w:sz w:val="23"/>
          <w:szCs w:val="23"/>
        </w:rPr>
        <w:t>County of Santa Clara</w:t>
      </w:r>
      <w:r w:rsidR="00140B91" w:rsidRPr="00700A27">
        <w:rPr>
          <w:sz w:val="23"/>
          <w:szCs w:val="23"/>
        </w:rPr>
        <w:tab/>
      </w:r>
      <w:r w:rsidR="00140B91" w:rsidRPr="00700A27">
        <w:rPr>
          <w:sz w:val="23"/>
          <w:szCs w:val="23"/>
        </w:rPr>
        <w:tab/>
      </w:r>
      <w:r w:rsidR="00140B91" w:rsidRPr="00700A27">
        <w:rPr>
          <w:sz w:val="23"/>
          <w:szCs w:val="23"/>
        </w:rPr>
        <w:tab/>
      </w:r>
      <w:r w:rsidR="00140B91" w:rsidRPr="00700A27">
        <w:rPr>
          <w:sz w:val="23"/>
          <w:szCs w:val="23"/>
        </w:rPr>
        <w:tab/>
      </w:r>
      <w:r w:rsidR="00140B91" w:rsidRPr="00700A27">
        <w:rPr>
          <w:sz w:val="23"/>
          <w:szCs w:val="23"/>
        </w:rPr>
        <w:tab/>
      </w:r>
      <w:r w:rsidR="00140B91" w:rsidRPr="00700A27">
        <w:rPr>
          <w:sz w:val="22"/>
          <w:szCs w:val="22"/>
        </w:rPr>
        <w:t>Janet Laurain, Adams Broadwell Joseph &amp; Cardozo</w:t>
      </w:r>
    </w:p>
    <w:p w14:paraId="2C158DF4" w14:textId="77777777" w:rsidR="00CD524A" w:rsidRPr="00700A27" w:rsidRDefault="00CD524A" w:rsidP="00CD524A">
      <w:pPr>
        <w:ind w:right="-1440" w:firstLine="720"/>
        <w:rPr>
          <w:sz w:val="22"/>
          <w:szCs w:val="22"/>
        </w:rPr>
      </w:pPr>
      <w:r w:rsidRPr="00700A27">
        <w:rPr>
          <w:sz w:val="22"/>
          <w:szCs w:val="22"/>
        </w:rPr>
        <w:t>California Department of Fish and Game</w:t>
      </w:r>
      <w:r w:rsidR="00140B91" w:rsidRPr="00700A27">
        <w:rPr>
          <w:sz w:val="22"/>
          <w:szCs w:val="22"/>
        </w:rPr>
        <w:tab/>
      </w:r>
      <w:r w:rsidR="00140B91" w:rsidRPr="00700A27">
        <w:rPr>
          <w:sz w:val="22"/>
          <w:szCs w:val="22"/>
        </w:rPr>
        <w:tab/>
        <w:t>City of Los Banos Planning Department</w:t>
      </w:r>
    </w:p>
    <w:p w14:paraId="51F393BE" w14:textId="3957ED9A" w:rsidR="005D4C4B" w:rsidRDefault="00CD524A" w:rsidP="00CD524A">
      <w:pPr>
        <w:ind w:right="-1440" w:firstLine="720"/>
        <w:rPr>
          <w:sz w:val="22"/>
          <w:szCs w:val="22"/>
        </w:rPr>
      </w:pPr>
      <w:r w:rsidRPr="00700A27">
        <w:rPr>
          <w:sz w:val="22"/>
          <w:szCs w:val="22"/>
        </w:rPr>
        <w:t>Valley Water District</w:t>
      </w:r>
      <w:r w:rsidR="00700A27">
        <w:rPr>
          <w:sz w:val="22"/>
          <w:szCs w:val="22"/>
        </w:rPr>
        <w:tab/>
      </w:r>
      <w:r w:rsidR="00700A27">
        <w:rPr>
          <w:sz w:val="22"/>
          <w:szCs w:val="22"/>
        </w:rPr>
        <w:tab/>
      </w:r>
      <w:r w:rsidR="00700A27">
        <w:rPr>
          <w:sz w:val="22"/>
          <w:szCs w:val="22"/>
        </w:rPr>
        <w:tab/>
      </w:r>
      <w:r w:rsidR="00700A27">
        <w:rPr>
          <w:sz w:val="22"/>
          <w:szCs w:val="22"/>
        </w:rPr>
        <w:tab/>
      </w:r>
      <w:r w:rsidR="00700A27">
        <w:rPr>
          <w:sz w:val="22"/>
          <w:szCs w:val="22"/>
        </w:rPr>
        <w:tab/>
        <w:t>Richard Drury, Komalpreet Toor</w:t>
      </w:r>
    </w:p>
    <w:p w14:paraId="75E51CA6" w14:textId="6D2D7616" w:rsidR="00700A27" w:rsidRDefault="00700A27" w:rsidP="00CD524A">
      <w:pPr>
        <w:ind w:right="-1440" w:firstLine="720"/>
        <w:rPr>
          <w:sz w:val="22"/>
          <w:szCs w:val="22"/>
        </w:rPr>
      </w:pPr>
      <w:r>
        <w:rPr>
          <w:sz w:val="22"/>
          <w:szCs w:val="22"/>
        </w:rPr>
        <w:t>Valley Transportation Authority</w:t>
      </w:r>
      <w:r>
        <w:rPr>
          <w:sz w:val="22"/>
          <w:szCs w:val="22"/>
        </w:rPr>
        <w:tab/>
      </w:r>
      <w:r>
        <w:rPr>
          <w:sz w:val="22"/>
          <w:szCs w:val="22"/>
        </w:rPr>
        <w:tab/>
      </w:r>
      <w:r>
        <w:rPr>
          <w:sz w:val="22"/>
          <w:szCs w:val="22"/>
        </w:rPr>
        <w:tab/>
      </w:r>
      <w:r>
        <w:rPr>
          <w:sz w:val="22"/>
          <w:szCs w:val="22"/>
        </w:rPr>
        <w:tab/>
        <w:t>Pacific Gas &amp; Electric</w:t>
      </w:r>
    </w:p>
    <w:p w14:paraId="0688B1B2" w14:textId="2E989A71" w:rsidR="00700A27" w:rsidRPr="00700A27" w:rsidRDefault="00700A27" w:rsidP="00CD524A">
      <w:pPr>
        <w:ind w:right="-1440" w:firstLine="720"/>
        <w:rPr>
          <w:sz w:val="22"/>
          <w:szCs w:val="22"/>
        </w:rPr>
      </w:pPr>
      <w:r>
        <w:rPr>
          <w:sz w:val="22"/>
          <w:szCs w:val="22"/>
        </w:rPr>
        <w:t>MH Unified School District</w:t>
      </w:r>
      <w:r>
        <w:rPr>
          <w:sz w:val="22"/>
          <w:szCs w:val="22"/>
        </w:rPr>
        <w:tab/>
      </w:r>
      <w:r>
        <w:rPr>
          <w:sz w:val="22"/>
          <w:szCs w:val="22"/>
        </w:rPr>
        <w:tab/>
      </w:r>
      <w:r>
        <w:rPr>
          <w:sz w:val="22"/>
          <w:szCs w:val="22"/>
        </w:rPr>
        <w:tab/>
      </w:r>
      <w:r>
        <w:rPr>
          <w:sz w:val="22"/>
          <w:szCs w:val="22"/>
        </w:rPr>
        <w:tab/>
        <w:t>SC Valley Audubon Society</w:t>
      </w:r>
    </w:p>
    <w:p w14:paraId="0F88897B" w14:textId="5FD5D500" w:rsidR="00700A27" w:rsidRDefault="007D09D9" w:rsidP="0083091D">
      <w:pPr>
        <w:rPr>
          <w:sz w:val="23"/>
          <w:szCs w:val="23"/>
        </w:rPr>
      </w:pPr>
      <w:r w:rsidRPr="00700A27">
        <w:rPr>
          <w:sz w:val="23"/>
          <w:szCs w:val="23"/>
        </w:rPr>
        <w:tab/>
      </w:r>
      <w:r w:rsidR="00700A27">
        <w:rPr>
          <w:sz w:val="23"/>
          <w:szCs w:val="23"/>
        </w:rPr>
        <w:t>City of Gilroy</w:t>
      </w:r>
      <w:r w:rsidR="008D53CC">
        <w:rPr>
          <w:sz w:val="23"/>
          <w:szCs w:val="23"/>
        </w:rPr>
        <w:tab/>
      </w:r>
      <w:r w:rsidR="008D53CC">
        <w:rPr>
          <w:sz w:val="23"/>
          <w:szCs w:val="23"/>
        </w:rPr>
        <w:tab/>
      </w:r>
      <w:r w:rsidR="008D53CC">
        <w:rPr>
          <w:sz w:val="23"/>
          <w:szCs w:val="23"/>
        </w:rPr>
        <w:tab/>
      </w:r>
      <w:r w:rsidR="008D53CC">
        <w:rPr>
          <w:sz w:val="23"/>
          <w:szCs w:val="23"/>
        </w:rPr>
        <w:tab/>
      </w:r>
      <w:r w:rsidR="008D53CC">
        <w:rPr>
          <w:sz w:val="23"/>
          <w:szCs w:val="23"/>
        </w:rPr>
        <w:tab/>
      </w:r>
      <w:r w:rsidR="008D53CC">
        <w:rPr>
          <w:sz w:val="23"/>
          <w:szCs w:val="23"/>
        </w:rPr>
        <w:tab/>
        <w:t>Other Interested Agencies and Parties</w:t>
      </w:r>
      <w:bookmarkStart w:id="0" w:name="_GoBack"/>
      <w:bookmarkEnd w:id="0"/>
    </w:p>
    <w:p w14:paraId="0877D285" w14:textId="265B16DB" w:rsidR="0016281D" w:rsidRPr="00700A27" w:rsidRDefault="007D09D9" w:rsidP="0083091D">
      <w:pPr>
        <w:rPr>
          <w:sz w:val="23"/>
          <w:szCs w:val="23"/>
        </w:rPr>
      </w:pPr>
      <w:r w:rsidRPr="00700A27">
        <w:rPr>
          <w:sz w:val="23"/>
          <w:szCs w:val="23"/>
        </w:rPr>
        <w:tab/>
      </w:r>
      <w:r w:rsidRPr="00700A27">
        <w:rPr>
          <w:sz w:val="23"/>
          <w:szCs w:val="23"/>
        </w:rPr>
        <w:tab/>
      </w:r>
      <w:r w:rsidRPr="00700A27">
        <w:rPr>
          <w:sz w:val="23"/>
          <w:szCs w:val="23"/>
        </w:rPr>
        <w:tab/>
      </w:r>
      <w:r w:rsidRPr="00700A27">
        <w:rPr>
          <w:sz w:val="23"/>
          <w:szCs w:val="23"/>
        </w:rPr>
        <w:tab/>
      </w:r>
    </w:p>
    <w:p w14:paraId="77D3DA68" w14:textId="752C17F5" w:rsidR="007D09D9" w:rsidRPr="00700A27" w:rsidRDefault="007D09D9" w:rsidP="00DD6039">
      <w:pPr>
        <w:jc w:val="both"/>
        <w:rPr>
          <w:sz w:val="22"/>
          <w:szCs w:val="22"/>
        </w:rPr>
      </w:pPr>
      <w:r w:rsidRPr="00700A27">
        <w:rPr>
          <w:sz w:val="23"/>
          <w:szCs w:val="23"/>
        </w:rPr>
        <w:t>Thi</w:t>
      </w:r>
      <w:r w:rsidRPr="00742EF4">
        <w:rPr>
          <w:sz w:val="23"/>
          <w:szCs w:val="23"/>
        </w:rPr>
        <w:t xml:space="preserve">s is to advise that the </w:t>
      </w:r>
      <w:r w:rsidR="005729FA" w:rsidRPr="00742EF4">
        <w:rPr>
          <w:b/>
          <w:sz w:val="23"/>
          <w:szCs w:val="23"/>
        </w:rPr>
        <w:t xml:space="preserve">City of </w:t>
      </w:r>
      <w:r w:rsidR="007D20CA" w:rsidRPr="00742EF4">
        <w:rPr>
          <w:b/>
          <w:sz w:val="23"/>
          <w:szCs w:val="23"/>
        </w:rPr>
        <w:t>Morgan Hill</w:t>
      </w:r>
      <w:r w:rsidRPr="00742EF4">
        <w:rPr>
          <w:sz w:val="23"/>
          <w:szCs w:val="23"/>
        </w:rPr>
        <w:t xml:space="preserve"> has prepared an </w:t>
      </w:r>
      <w:r w:rsidRPr="00742EF4">
        <w:rPr>
          <w:b/>
          <w:sz w:val="23"/>
          <w:szCs w:val="23"/>
        </w:rPr>
        <w:t>Initial Study</w:t>
      </w:r>
      <w:r w:rsidRPr="00742EF4">
        <w:rPr>
          <w:sz w:val="23"/>
          <w:szCs w:val="23"/>
        </w:rPr>
        <w:t xml:space="preserve"> </w:t>
      </w:r>
      <w:r w:rsidR="00952B39">
        <w:rPr>
          <w:sz w:val="23"/>
          <w:szCs w:val="23"/>
        </w:rPr>
        <w:t xml:space="preserve">(IS) </w:t>
      </w:r>
      <w:r w:rsidRPr="00742EF4">
        <w:rPr>
          <w:sz w:val="23"/>
          <w:szCs w:val="23"/>
        </w:rPr>
        <w:t>to evaluate the environmental impacts of the project identified below,</w:t>
      </w:r>
      <w:r w:rsidRPr="00700A27">
        <w:rPr>
          <w:sz w:val="22"/>
          <w:szCs w:val="22"/>
        </w:rPr>
        <w:t xml:space="preserve"> as required by the California Environmental Quality Act (CEQA). </w:t>
      </w:r>
      <w:r w:rsidR="007D20CA" w:rsidRPr="00700A27">
        <w:rPr>
          <w:sz w:val="22"/>
          <w:szCs w:val="22"/>
        </w:rPr>
        <w:t xml:space="preserve"> </w:t>
      </w:r>
      <w:r w:rsidRPr="00700A27">
        <w:rPr>
          <w:sz w:val="22"/>
          <w:szCs w:val="22"/>
        </w:rPr>
        <w:t xml:space="preserve">As mandated by State Law, the review period for this document is </w:t>
      </w:r>
      <w:r w:rsidR="001C0E9D" w:rsidRPr="00700A27">
        <w:rPr>
          <w:sz w:val="22"/>
          <w:szCs w:val="22"/>
        </w:rPr>
        <w:t>2</w:t>
      </w:r>
      <w:r w:rsidRPr="00700A27">
        <w:rPr>
          <w:sz w:val="22"/>
          <w:szCs w:val="22"/>
        </w:rPr>
        <w:t>0 (</w:t>
      </w:r>
      <w:r w:rsidR="001C0E9D" w:rsidRPr="00700A27">
        <w:rPr>
          <w:sz w:val="22"/>
          <w:szCs w:val="22"/>
        </w:rPr>
        <w:t>twenty</w:t>
      </w:r>
      <w:r w:rsidRPr="00700A27">
        <w:rPr>
          <w:sz w:val="22"/>
          <w:szCs w:val="22"/>
        </w:rPr>
        <w:t xml:space="preserve">) days.  Based upon the conclusions set forth in the IS, the </w:t>
      </w:r>
      <w:r w:rsidR="005729FA" w:rsidRPr="00700A27">
        <w:rPr>
          <w:sz w:val="22"/>
          <w:szCs w:val="22"/>
        </w:rPr>
        <w:t xml:space="preserve">City of </w:t>
      </w:r>
      <w:r w:rsidR="007D20CA" w:rsidRPr="00700A27">
        <w:rPr>
          <w:sz w:val="22"/>
          <w:szCs w:val="22"/>
        </w:rPr>
        <w:t>Morgan Hill</w:t>
      </w:r>
      <w:r w:rsidRPr="00700A27">
        <w:rPr>
          <w:sz w:val="22"/>
          <w:szCs w:val="22"/>
        </w:rPr>
        <w:t xml:space="preserve"> proposes to adopt a Mitigated Negative Declaration. </w:t>
      </w:r>
    </w:p>
    <w:p w14:paraId="156EBA6D" w14:textId="77777777" w:rsidR="004C79A1" w:rsidRPr="00700A27" w:rsidRDefault="004C79A1" w:rsidP="00DD6039">
      <w:pPr>
        <w:jc w:val="both"/>
        <w:rPr>
          <w:sz w:val="22"/>
          <w:szCs w:val="22"/>
        </w:rPr>
      </w:pPr>
    </w:p>
    <w:p w14:paraId="53F297C7" w14:textId="1F5B9E8C" w:rsidR="00361003" w:rsidRPr="00700A27" w:rsidRDefault="004C79A1" w:rsidP="00DD6039">
      <w:pPr>
        <w:jc w:val="both"/>
        <w:rPr>
          <w:sz w:val="22"/>
          <w:szCs w:val="22"/>
        </w:rPr>
      </w:pPr>
      <w:r w:rsidRPr="00700A27">
        <w:rPr>
          <w:b/>
          <w:sz w:val="22"/>
          <w:szCs w:val="22"/>
        </w:rPr>
        <w:t>Project Title</w:t>
      </w:r>
      <w:r w:rsidR="00DB3C67" w:rsidRPr="00700A27">
        <w:rPr>
          <w:b/>
          <w:sz w:val="22"/>
          <w:szCs w:val="22"/>
        </w:rPr>
        <w:t xml:space="preserve">: </w:t>
      </w:r>
      <w:r w:rsidR="00AB0A2F" w:rsidRPr="00700A27">
        <w:rPr>
          <w:b/>
          <w:sz w:val="22"/>
          <w:szCs w:val="22"/>
        </w:rPr>
        <w:tab/>
      </w:r>
      <w:r w:rsidR="00952B39" w:rsidRPr="00700A27">
        <w:rPr>
          <w:sz w:val="22"/>
          <w:szCs w:val="22"/>
        </w:rPr>
        <w:t>Butterfield Public Park</w:t>
      </w:r>
    </w:p>
    <w:p w14:paraId="1CB57F44" w14:textId="77777777" w:rsidR="0013272A" w:rsidRPr="00700A27" w:rsidRDefault="0013272A" w:rsidP="00DD6039">
      <w:pPr>
        <w:jc w:val="both"/>
        <w:rPr>
          <w:sz w:val="22"/>
          <w:szCs w:val="22"/>
        </w:rPr>
      </w:pPr>
    </w:p>
    <w:p w14:paraId="269C520D" w14:textId="7E3ECDD7" w:rsidR="00DB3C67" w:rsidRPr="00700A27" w:rsidRDefault="00DB3C67" w:rsidP="00952B39">
      <w:pPr>
        <w:rPr>
          <w:sz w:val="22"/>
          <w:szCs w:val="22"/>
        </w:rPr>
      </w:pPr>
      <w:r w:rsidRPr="00700A27">
        <w:rPr>
          <w:b/>
          <w:sz w:val="22"/>
          <w:szCs w:val="22"/>
        </w:rPr>
        <w:t xml:space="preserve">Project Location:  </w:t>
      </w:r>
      <w:r w:rsidR="00952B39" w:rsidRPr="00700A27">
        <w:rPr>
          <w:sz w:val="22"/>
          <w:szCs w:val="22"/>
        </w:rPr>
        <w:t>The project site is located on a 9.5-acre site on two parcels (APNs 817-06-064 and 817-06-002) on the south side of Butterfield Boulevard between Monterey Road and the Union Pacific Railroad (UPRR)/CalTrain tracks.</w:t>
      </w:r>
    </w:p>
    <w:p w14:paraId="4A6BAED6" w14:textId="77777777" w:rsidR="00952B39" w:rsidRPr="00700A27" w:rsidRDefault="00952B39" w:rsidP="00952B39">
      <w:pPr>
        <w:rPr>
          <w:b/>
          <w:sz w:val="22"/>
          <w:szCs w:val="22"/>
        </w:rPr>
      </w:pPr>
    </w:p>
    <w:p w14:paraId="40F13009" w14:textId="2DEB524B" w:rsidR="00BC7878" w:rsidRPr="00700A27" w:rsidRDefault="004C79A1" w:rsidP="00952B39">
      <w:pPr>
        <w:rPr>
          <w:sz w:val="22"/>
          <w:szCs w:val="22"/>
        </w:rPr>
      </w:pPr>
      <w:r w:rsidRPr="00700A27">
        <w:rPr>
          <w:b/>
          <w:sz w:val="22"/>
          <w:szCs w:val="22"/>
        </w:rPr>
        <w:t>Project Description:</w:t>
      </w:r>
      <w:r w:rsidR="00DB3C67" w:rsidRPr="00700A27">
        <w:rPr>
          <w:b/>
          <w:sz w:val="22"/>
          <w:szCs w:val="22"/>
        </w:rPr>
        <w:t xml:space="preserve"> </w:t>
      </w:r>
      <w:r w:rsidR="00952B39" w:rsidRPr="00700A27">
        <w:rPr>
          <w:sz w:val="22"/>
          <w:szCs w:val="22"/>
        </w:rPr>
        <w:t xml:space="preserve">The proposed project is the construction of a new public park on a 9.5-acre site owned by the City of Morgan Hill. The park would be constructed on two </w:t>
      </w:r>
      <w:bookmarkStart w:id="1" w:name="_Hlk8295877"/>
      <w:r w:rsidR="00952B39" w:rsidRPr="00700A27">
        <w:rPr>
          <w:sz w:val="22"/>
          <w:szCs w:val="22"/>
        </w:rPr>
        <w:t>parcels south of Butterfield Boulevard between Monterey Road and the UPRR tracks.</w:t>
      </w:r>
      <w:bookmarkEnd w:id="1"/>
      <w:r w:rsidR="00952B39" w:rsidRPr="00700A27">
        <w:rPr>
          <w:sz w:val="22"/>
          <w:szCs w:val="22"/>
        </w:rPr>
        <w:t xml:space="preserve"> The park would include bicycle pump tracks, adult exercise equipment, a baseball field, picnic areas, a building with a public meeting room, concessions and restrooms, grass lawns, a walking path, a surface parking lot and a bio-filtration system installed under the parking lot.</w:t>
      </w:r>
    </w:p>
    <w:p w14:paraId="37C0C0A4" w14:textId="77777777" w:rsidR="00952B39" w:rsidRPr="00700A27" w:rsidRDefault="00952B39" w:rsidP="00952B39">
      <w:pPr>
        <w:rPr>
          <w:sz w:val="22"/>
          <w:szCs w:val="22"/>
        </w:rPr>
      </w:pPr>
    </w:p>
    <w:p w14:paraId="7FCCA281" w14:textId="3DC98150" w:rsidR="00765C2F" w:rsidRPr="00700A27" w:rsidRDefault="000D3CB4" w:rsidP="00DD6039">
      <w:pPr>
        <w:jc w:val="both"/>
        <w:rPr>
          <w:sz w:val="22"/>
          <w:szCs w:val="22"/>
        </w:rPr>
      </w:pPr>
      <w:r>
        <w:rPr>
          <w:b/>
          <w:sz w:val="22"/>
          <w:szCs w:val="22"/>
        </w:rPr>
        <w:t>Environmental Analysis</w:t>
      </w:r>
      <w:r w:rsidR="00BC7878" w:rsidRPr="00700A27">
        <w:rPr>
          <w:b/>
          <w:sz w:val="22"/>
          <w:szCs w:val="22"/>
        </w:rPr>
        <w:t>:</w:t>
      </w:r>
      <w:r w:rsidR="00FC297C" w:rsidRPr="00700A27">
        <w:rPr>
          <w:sz w:val="22"/>
          <w:szCs w:val="22"/>
        </w:rPr>
        <w:t xml:space="preserve"> </w:t>
      </w:r>
      <w:r w:rsidR="00765C2F" w:rsidRPr="00700A27">
        <w:rPr>
          <w:sz w:val="22"/>
          <w:szCs w:val="22"/>
        </w:rPr>
        <w:t xml:space="preserve">On the basis of this Initial Study prepared by the City of Morgan Hill, it is determined that although the proposed project could have a significant impact on the environment, mitigation measures described in the Initial Study have been included into the project.  These mitigation measures will reduce the impacts to a less than significant level.  </w:t>
      </w:r>
    </w:p>
    <w:p w14:paraId="68833BE0" w14:textId="77777777" w:rsidR="00765C2F" w:rsidRPr="00700A27" w:rsidRDefault="00765C2F" w:rsidP="00DD6039">
      <w:pPr>
        <w:jc w:val="both"/>
        <w:rPr>
          <w:sz w:val="22"/>
          <w:szCs w:val="22"/>
        </w:rPr>
      </w:pPr>
    </w:p>
    <w:p w14:paraId="0D9CFAE3" w14:textId="77777777" w:rsidR="00765C2F" w:rsidRPr="00700A27" w:rsidRDefault="00765C2F" w:rsidP="00DD6039">
      <w:pPr>
        <w:pStyle w:val="BodyText2"/>
        <w:rPr>
          <w:spacing w:val="0"/>
          <w:szCs w:val="22"/>
        </w:rPr>
      </w:pPr>
      <w:r w:rsidRPr="00700A27">
        <w:rPr>
          <w:spacing w:val="0"/>
          <w:szCs w:val="22"/>
        </w:rPr>
        <w:t xml:space="preserve">The California Environmental Quality Act (CEQA) requires this notice to disclose whether any listed toxic sites are present.  The project location </w:t>
      </w:r>
      <w:r w:rsidRPr="00700A27">
        <w:rPr>
          <w:b/>
          <w:spacing w:val="0"/>
          <w:szCs w:val="22"/>
        </w:rPr>
        <w:t xml:space="preserve">does </w:t>
      </w:r>
      <w:r w:rsidR="00B97666" w:rsidRPr="00700A27">
        <w:rPr>
          <w:b/>
          <w:spacing w:val="0"/>
          <w:szCs w:val="22"/>
        </w:rPr>
        <w:t xml:space="preserve">not </w:t>
      </w:r>
      <w:r w:rsidRPr="00700A27">
        <w:rPr>
          <w:spacing w:val="0"/>
          <w:szCs w:val="22"/>
        </w:rPr>
        <w:t>contain a listed toxic site</w:t>
      </w:r>
      <w:r w:rsidR="00806740" w:rsidRPr="00700A27">
        <w:rPr>
          <w:spacing w:val="0"/>
          <w:szCs w:val="22"/>
        </w:rPr>
        <w:t xml:space="preserve">.  </w:t>
      </w:r>
    </w:p>
    <w:p w14:paraId="5A518944" w14:textId="77777777" w:rsidR="00765C2F" w:rsidRPr="00700A27" w:rsidRDefault="00765C2F" w:rsidP="00DD6039">
      <w:pPr>
        <w:jc w:val="both"/>
        <w:rPr>
          <w:sz w:val="22"/>
          <w:szCs w:val="22"/>
        </w:rPr>
      </w:pPr>
    </w:p>
    <w:p w14:paraId="050BD564" w14:textId="37C1AB04" w:rsidR="00765C2F" w:rsidRPr="00700A27" w:rsidRDefault="00765C2F" w:rsidP="00DD6039">
      <w:pPr>
        <w:jc w:val="both"/>
        <w:rPr>
          <w:sz w:val="22"/>
          <w:szCs w:val="22"/>
        </w:rPr>
      </w:pPr>
      <w:r w:rsidRPr="00700A27">
        <w:rPr>
          <w:sz w:val="22"/>
          <w:szCs w:val="22"/>
        </w:rPr>
        <w:t xml:space="preserve">The comment period for this document begins on </w:t>
      </w:r>
      <w:r w:rsidR="002B1CBC" w:rsidRPr="00700A27">
        <w:rPr>
          <w:sz w:val="22"/>
          <w:szCs w:val="22"/>
        </w:rPr>
        <w:t>J</w:t>
      </w:r>
      <w:r w:rsidR="00952B39" w:rsidRPr="00700A27">
        <w:rPr>
          <w:sz w:val="22"/>
          <w:szCs w:val="22"/>
        </w:rPr>
        <w:t>uly 12</w:t>
      </w:r>
      <w:r w:rsidR="000D3CB4">
        <w:rPr>
          <w:sz w:val="22"/>
          <w:szCs w:val="22"/>
        </w:rPr>
        <w:t>, 2019</w:t>
      </w:r>
      <w:r w:rsidR="002B1CBC" w:rsidRPr="00700A27">
        <w:rPr>
          <w:sz w:val="22"/>
          <w:szCs w:val="22"/>
        </w:rPr>
        <w:t xml:space="preserve"> </w:t>
      </w:r>
      <w:r w:rsidR="0013272A" w:rsidRPr="00700A27">
        <w:rPr>
          <w:sz w:val="22"/>
          <w:szCs w:val="22"/>
        </w:rPr>
        <w:t>a</w:t>
      </w:r>
      <w:r w:rsidRPr="00700A27">
        <w:rPr>
          <w:sz w:val="22"/>
          <w:szCs w:val="22"/>
        </w:rPr>
        <w:t xml:space="preserve">nd closes on </w:t>
      </w:r>
      <w:r w:rsidR="00952B39" w:rsidRPr="00700A27">
        <w:rPr>
          <w:sz w:val="22"/>
          <w:szCs w:val="22"/>
        </w:rPr>
        <w:t>August 1</w:t>
      </w:r>
      <w:r w:rsidR="000D3CB4">
        <w:rPr>
          <w:sz w:val="22"/>
          <w:szCs w:val="22"/>
        </w:rPr>
        <w:t>, 2019</w:t>
      </w:r>
      <w:r w:rsidR="005E2B3A" w:rsidRPr="00700A27">
        <w:rPr>
          <w:sz w:val="22"/>
          <w:szCs w:val="22"/>
        </w:rPr>
        <w:t>.</w:t>
      </w:r>
      <w:r w:rsidRPr="00700A27">
        <w:rPr>
          <w:sz w:val="22"/>
          <w:szCs w:val="22"/>
        </w:rPr>
        <w:t xml:space="preserve">  Persons having comments concerning this project, including objections to the basis of determination set forth in the IS, are invited to furnish their comments summarizing the specific and factual basis for their comments, in writing to the City of Morgan Hill Community Development Department.</w:t>
      </w:r>
    </w:p>
    <w:p w14:paraId="32060F15" w14:textId="77777777" w:rsidR="00765C2F" w:rsidRPr="00700A27" w:rsidRDefault="00765C2F" w:rsidP="00DD6039">
      <w:pPr>
        <w:jc w:val="both"/>
        <w:rPr>
          <w:sz w:val="22"/>
          <w:szCs w:val="22"/>
        </w:rPr>
      </w:pPr>
    </w:p>
    <w:p w14:paraId="2D7D637C" w14:textId="77777777" w:rsidR="00CC0DF4" w:rsidRPr="00700A27" w:rsidRDefault="00A905F7" w:rsidP="00DD6039">
      <w:pPr>
        <w:jc w:val="both"/>
        <w:rPr>
          <w:sz w:val="22"/>
          <w:szCs w:val="22"/>
        </w:rPr>
      </w:pPr>
      <w:r w:rsidRPr="00700A27">
        <w:rPr>
          <w:sz w:val="22"/>
          <w:szCs w:val="22"/>
        </w:rPr>
        <w:t xml:space="preserve">The draft Mitigated Negative Declaration, Initial Study and reference documents are available for review from </w:t>
      </w:r>
      <w:r w:rsidR="00C61513" w:rsidRPr="00700A27">
        <w:rPr>
          <w:sz w:val="22"/>
          <w:szCs w:val="22"/>
        </w:rPr>
        <w:t xml:space="preserve">8:00 AM </w:t>
      </w:r>
      <w:r w:rsidRPr="00700A27">
        <w:rPr>
          <w:sz w:val="22"/>
          <w:szCs w:val="22"/>
        </w:rPr>
        <w:t xml:space="preserve">to </w:t>
      </w:r>
      <w:r w:rsidR="00C61513" w:rsidRPr="00700A27">
        <w:rPr>
          <w:sz w:val="22"/>
          <w:szCs w:val="22"/>
        </w:rPr>
        <w:t xml:space="preserve">5:00 </w:t>
      </w:r>
      <w:r w:rsidRPr="00700A27">
        <w:rPr>
          <w:sz w:val="22"/>
          <w:szCs w:val="22"/>
        </w:rPr>
        <w:t xml:space="preserve">PM Monday through Friday at the City of Morgan Hill, </w:t>
      </w:r>
      <w:r w:rsidR="00CC0DF4" w:rsidRPr="00700A27">
        <w:rPr>
          <w:sz w:val="22"/>
          <w:szCs w:val="22"/>
        </w:rPr>
        <w:t>Development Services Center, Community Development Department, 17575 Peak Avenue, Morgan Hill, CA  95037.  Further details may be obtained from the Community Development Department at (408) 778-6480.</w:t>
      </w:r>
    </w:p>
    <w:p w14:paraId="3E5E5122" w14:textId="77777777" w:rsidR="0013272A" w:rsidRPr="00700A27" w:rsidRDefault="0013272A" w:rsidP="0083091D">
      <w:pPr>
        <w:rPr>
          <w:sz w:val="22"/>
          <w:szCs w:val="22"/>
        </w:rPr>
      </w:pPr>
    </w:p>
    <w:sectPr w:rsidR="0013272A" w:rsidRPr="00700A27" w:rsidSect="00FC297C">
      <w:pgSz w:w="12240" w:h="15840"/>
      <w:pgMar w:top="270" w:right="720" w:bottom="432"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19CD4" w14:textId="77777777" w:rsidR="00CD428F" w:rsidRDefault="00CD428F">
      <w:r>
        <w:separator/>
      </w:r>
    </w:p>
  </w:endnote>
  <w:endnote w:type="continuationSeparator" w:id="0">
    <w:p w14:paraId="6C68F946" w14:textId="77777777" w:rsidR="00CD428F" w:rsidRDefault="00CD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9712" w14:textId="77777777" w:rsidR="00CD428F" w:rsidRDefault="00CD428F">
      <w:r>
        <w:separator/>
      </w:r>
    </w:p>
  </w:footnote>
  <w:footnote w:type="continuationSeparator" w:id="0">
    <w:p w14:paraId="2DA97A54" w14:textId="77777777" w:rsidR="00CD428F" w:rsidRDefault="00CD4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443C"/>
    <w:multiLevelType w:val="hybridMultilevel"/>
    <w:tmpl w:val="18500B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6"/>
    <w:rsid w:val="00000E2F"/>
    <w:rsid w:val="00023BE0"/>
    <w:rsid w:val="0006633D"/>
    <w:rsid w:val="00082794"/>
    <w:rsid w:val="00082AC0"/>
    <w:rsid w:val="000A06BF"/>
    <w:rsid w:val="000D3CB4"/>
    <w:rsid w:val="000F32B0"/>
    <w:rsid w:val="000F65FD"/>
    <w:rsid w:val="001200B6"/>
    <w:rsid w:val="0013272A"/>
    <w:rsid w:val="00140B91"/>
    <w:rsid w:val="00144FB0"/>
    <w:rsid w:val="0016281D"/>
    <w:rsid w:val="001A6302"/>
    <w:rsid w:val="001C0E9D"/>
    <w:rsid w:val="001D411B"/>
    <w:rsid w:val="0025264E"/>
    <w:rsid w:val="00273AE4"/>
    <w:rsid w:val="002B1CBC"/>
    <w:rsid w:val="002D7F48"/>
    <w:rsid w:val="00305EE1"/>
    <w:rsid w:val="00361003"/>
    <w:rsid w:val="00372198"/>
    <w:rsid w:val="00376FC6"/>
    <w:rsid w:val="003A0E81"/>
    <w:rsid w:val="003A16F8"/>
    <w:rsid w:val="003E2E81"/>
    <w:rsid w:val="00431C0E"/>
    <w:rsid w:val="00443C03"/>
    <w:rsid w:val="00480217"/>
    <w:rsid w:val="00493FDC"/>
    <w:rsid w:val="004A3297"/>
    <w:rsid w:val="004C79A1"/>
    <w:rsid w:val="004D76D3"/>
    <w:rsid w:val="00550C2C"/>
    <w:rsid w:val="005729FA"/>
    <w:rsid w:val="005D4C4B"/>
    <w:rsid w:val="005E2B3A"/>
    <w:rsid w:val="006000E6"/>
    <w:rsid w:val="00605059"/>
    <w:rsid w:val="00613986"/>
    <w:rsid w:val="00693DDF"/>
    <w:rsid w:val="006A5DAC"/>
    <w:rsid w:val="006B78C3"/>
    <w:rsid w:val="00700A27"/>
    <w:rsid w:val="007122CB"/>
    <w:rsid w:val="00742EF4"/>
    <w:rsid w:val="00765C2F"/>
    <w:rsid w:val="00792646"/>
    <w:rsid w:val="007C0E00"/>
    <w:rsid w:val="007D09D9"/>
    <w:rsid w:val="007D20CA"/>
    <w:rsid w:val="00806740"/>
    <w:rsid w:val="0083091D"/>
    <w:rsid w:val="00860104"/>
    <w:rsid w:val="0088442E"/>
    <w:rsid w:val="00884CA8"/>
    <w:rsid w:val="008A0004"/>
    <w:rsid w:val="008D53CC"/>
    <w:rsid w:val="009041B4"/>
    <w:rsid w:val="009217E2"/>
    <w:rsid w:val="00952B39"/>
    <w:rsid w:val="00985641"/>
    <w:rsid w:val="009867D8"/>
    <w:rsid w:val="009970FB"/>
    <w:rsid w:val="009E5322"/>
    <w:rsid w:val="00A6035A"/>
    <w:rsid w:val="00A905F7"/>
    <w:rsid w:val="00AB0A2F"/>
    <w:rsid w:val="00AF0F40"/>
    <w:rsid w:val="00B765DB"/>
    <w:rsid w:val="00B94C5A"/>
    <w:rsid w:val="00B97666"/>
    <w:rsid w:val="00BA2FEA"/>
    <w:rsid w:val="00BC7878"/>
    <w:rsid w:val="00BD4F6E"/>
    <w:rsid w:val="00C037D0"/>
    <w:rsid w:val="00C56B7F"/>
    <w:rsid w:val="00C61513"/>
    <w:rsid w:val="00C6363C"/>
    <w:rsid w:val="00C82162"/>
    <w:rsid w:val="00C96E3B"/>
    <w:rsid w:val="00CC0DF4"/>
    <w:rsid w:val="00CD1C3D"/>
    <w:rsid w:val="00CD428F"/>
    <w:rsid w:val="00CD524A"/>
    <w:rsid w:val="00D1328F"/>
    <w:rsid w:val="00D66B1F"/>
    <w:rsid w:val="00D84060"/>
    <w:rsid w:val="00DB3C25"/>
    <w:rsid w:val="00DB3C67"/>
    <w:rsid w:val="00DD1A92"/>
    <w:rsid w:val="00DD6039"/>
    <w:rsid w:val="00DD6C1B"/>
    <w:rsid w:val="00DE6F79"/>
    <w:rsid w:val="00DE71CE"/>
    <w:rsid w:val="00E23A98"/>
    <w:rsid w:val="00E50D57"/>
    <w:rsid w:val="00E721AF"/>
    <w:rsid w:val="00EA1CF2"/>
    <w:rsid w:val="00EC5700"/>
    <w:rsid w:val="00F02A6A"/>
    <w:rsid w:val="00F03312"/>
    <w:rsid w:val="00F05DC8"/>
    <w:rsid w:val="00F56A89"/>
    <w:rsid w:val="00F57E1F"/>
    <w:rsid w:val="00F877BB"/>
    <w:rsid w:val="00F9049B"/>
    <w:rsid w:val="00FA0856"/>
    <w:rsid w:val="00FA60EE"/>
    <w:rsid w:val="00FB390D"/>
    <w:rsid w:val="00FC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986709"/>
  <w15:chartTrackingRefBased/>
  <w15:docId w15:val="{9C27F37B-40AF-42F7-9288-5EBEBD90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2A6A"/>
    <w:rPr>
      <w:color w:val="0000FF"/>
      <w:u w:val="single"/>
    </w:rPr>
  </w:style>
  <w:style w:type="paragraph" w:styleId="BalloonText">
    <w:name w:val="Balloon Text"/>
    <w:basedOn w:val="Normal"/>
    <w:semiHidden/>
    <w:rsid w:val="009970FB"/>
    <w:rPr>
      <w:rFonts w:ascii="Tahoma" w:hAnsi="Tahoma" w:cs="Tahoma"/>
      <w:sz w:val="16"/>
      <w:szCs w:val="16"/>
    </w:rPr>
  </w:style>
  <w:style w:type="paragraph" w:styleId="BodyText2">
    <w:name w:val="Body Text 2"/>
    <w:basedOn w:val="Normal"/>
    <w:rsid w:val="004C79A1"/>
    <w:pPr>
      <w:tabs>
        <w:tab w:val="left" w:pos="-720"/>
        <w:tab w:val="left" w:pos="5040"/>
      </w:tabs>
      <w:suppressAutoHyphens/>
      <w:jc w:val="both"/>
    </w:pPr>
    <w:rPr>
      <w:spacing w:val="-3"/>
      <w:sz w:val="22"/>
    </w:rPr>
  </w:style>
  <w:style w:type="paragraph" w:styleId="CommentText">
    <w:name w:val="annotation text"/>
    <w:basedOn w:val="Normal"/>
    <w:semiHidden/>
    <w:rsid w:val="004C79A1"/>
  </w:style>
  <w:style w:type="character" w:styleId="CommentReference">
    <w:name w:val="annotation reference"/>
    <w:basedOn w:val="DefaultParagraphFont"/>
    <w:semiHidden/>
    <w:rsid w:val="004C79A1"/>
    <w:rPr>
      <w:sz w:val="16"/>
    </w:rPr>
  </w:style>
  <w:style w:type="character" w:styleId="FootnoteReference">
    <w:name w:val="footnote reference"/>
    <w:basedOn w:val="DefaultParagraphFont"/>
    <w:semiHidden/>
    <w:rsid w:val="00376FC6"/>
    <w:rPr>
      <w:vertAlign w:val="superscript"/>
    </w:rPr>
  </w:style>
  <w:style w:type="paragraph" w:styleId="FootnoteText">
    <w:name w:val="footnote text"/>
    <w:basedOn w:val="Normal"/>
    <w:semiHidden/>
    <w:rsid w:val="00376FC6"/>
  </w:style>
  <w:style w:type="paragraph" w:styleId="List">
    <w:name w:val="List"/>
    <w:basedOn w:val="Normal"/>
    <w:rsid w:val="002B1CBC"/>
    <w:pPr>
      <w:spacing w:before="120" w:after="240" w:line="240" w:lineRule="atLeast"/>
      <w:ind w:left="360" w:hanging="360"/>
      <w:jc w:val="both"/>
    </w:pPr>
    <w:rPr>
      <w:rFonts w:ascii="Times" w:hAnsi="Time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gan-hill.c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488</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NOTICE</vt:lpstr>
    </vt:vector>
  </TitlesOfParts>
  <Company>David Powers</Company>
  <LinksUpToDate>false</LinksUpToDate>
  <CharactersWithSpaces>3290</CharactersWithSpaces>
  <SharedDoc>false</SharedDoc>
  <HLinks>
    <vt:vector size="6" baseType="variant">
      <vt:variant>
        <vt:i4>7340140</vt:i4>
      </vt:variant>
      <vt:variant>
        <vt:i4>2</vt:i4>
      </vt:variant>
      <vt:variant>
        <vt:i4>0</vt:i4>
      </vt:variant>
      <vt:variant>
        <vt:i4>5</vt:i4>
      </vt:variant>
      <vt:variant>
        <vt:lpwstr>http://www.morgan-hill.ca.gov/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David J. Powers</dc:creator>
  <cp:keywords/>
  <cp:lastModifiedBy>Anthony Eulo</cp:lastModifiedBy>
  <cp:revision>6</cp:revision>
  <cp:lastPrinted>2019-07-12T17:41:00Z</cp:lastPrinted>
  <dcterms:created xsi:type="dcterms:W3CDTF">2019-07-10T23:33:00Z</dcterms:created>
  <dcterms:modified xsi:type="dcterms:W3CDTF">2019-07-12T17:41:00Z</dcterms:modified>
</cp:coreProperties>
</file>